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98" w:rsidRDefault="00802398" w:rsidP="00802398">
      <w:pPr>
        <w:ind w:left="426" w:hanging="426"/>
        <w:jc w:val="center"/>
        <w:rPr>
          <w:b/>
          <w:bCs/>
          <w:color w:val="FF0000"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Guidance on Occupational </w:t>
      </w:r>
      <w:r>
        <w:rPr>
          <w:b/>
          <w:bCs/>
          <w:sz w:val="32"/>
          <w:szCs w:val="32"/>
          <w:lang w:val="en-US"/>
        </w:rPr>
        <w:t xml:space="preserve">Competence of Practice Learning </w:t>
      </w:r>
      <w:r>
        <w:rPr>
          <w:b/>
          <w:bCs/>
          <w:sz w:val="32"/>
          <w:szCs w:val="32"/>
          <w:lang w:val="en-US"/>
        </w:rPr>
        <w:t>Assessors, Advisers and Internal Verifiers for Practice Learning qualifications at SCQF level 10</w:t>
      </w:r>
    </w:p>
    <w:p w:rsidR="00802398" w:rsidRDefault="00802398" w:rsidP="00802398">
      <w:pPr>
        <w:ind w:left="426" w:hanging="426"/>
        <w:rPr>
          <w:rFonts w:ascii="Times New Roman" w:hAnsi="Times New Roman"/>
          <w:color w:val="000000"/>
          <w:lang w:val="en-US"/>
        </w:rPr>
      </w:pPr>
    </w:p>
    <w:p w:rsidR="00802398" w:rsidRDefault="00802398" w:rsidP="00802398">
      <w:pPr>
        <w:rPr>
          <w:rFonts w:ascii="Arial" w:hAnsi="Arial" w:cs="Arial"/>
          <w:color w:val="000000"/>
          <w:lang w:val="en-US"/>
        </w:rPr>
      </w:pPr>
      <w:r>
        <w:rPr>
          <w:color w:val="000000"/>
          <w:lang w:val="en-US"/>
        </w:rPr>
        <w:t>The following gives guidance on the qualifications and experience required by Assessors, Mentors and Internal Verifiers for these awards.</w:t>
      </w:r>
    </w:p>
    <w:p w:rsidR="00802398" w:rsidRDefault="00802398" w:rsidP="00802398">
      <w:pPr>
        <w:ind w:left="70"/>
        <w:rPr>
          <w:color w:val="000000"/>
          <w:lang w:val="en-US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4775"/>
        <w:gridCol w:w="1542"/>
      </w:tblGrid>
      <w:tr w:rsidR="00802398" w:rsidTr="00802398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98" w:rsidRDefault="0080239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98" w:rsidRDefault="0080239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Essential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98" w:rsidRDefault="0080239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Desirable</w:t>
            </w:r>
          </w:p>
        </w:tc>
      </w:tr>
      <w:tr w:rsidR="00802398" w:rsidTr="00802398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98" w:rsidRDefault="0080239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98" w:rsidRDefault="00802398">
            <w:pPr>
              <w:ind w:firstLine="1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One of the following: </w:t>
            </w:r>
          </w:p>
          <w:p w:rsidR="00802398" w:rsidRDefault="00802398">
            <w:pPr>
              <w:rPr>
                <w:sz w:val="20"/>
                <w:szCs w:val="20"/>
                <w:lang w:val="en-US"/>
              </w:rPr>
            </w:pPr>
          </w:p>
          <w:p w:rsidR="00802398" w:rsidRDefault="00802398">
            <w:pPr>
              <w:ind w:left="43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Degree in Social Work,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DipSW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, CQSW, CSS, SVQ Care 4, Degree in Community Education, Allied Health Professional qualification RGN, RMN (or other relevant nursing qualification) Day Care of Children Award (level 10), Teaching qualification o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r other relevant qualification to be agreed via SQA </w:t>
            </w:r>
          </w:p>
          <w:p w:rsidR="00802398" w:rsidRDefault="00802398">
            <w:pPr>
              <w:ind w:left="370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802398" w:rsidRDefault="00802398">
            <w:pPr>
              <w:ind w:left="437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And any of the above plus</w:t>
            </w:r>
          </w:p>
          <w:p w:rsidR="00802398" w:rsidRDefault="00802398">
            <w:pPr>
              <w:ind w:left="370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802398" w:rsidRDefault="00802398">
            <w:pPr>
              <w:ind w:left="43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An Award or evidence of substantial training which centrally focuses on the facilitation and assessment of learning at SCQF level 10 or above (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Practice Teaching Award/Training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, SVQ Learning and Development 4</w:t>
            </w:r>
          </w:p>
          <w:p w:rsidR="00802398" w:rsidRDefault="00802398">
            <w:pPr>
              <w:ind w:left="437"/>
              <w:rPr>
                <w:color w:val="000000"/>
                <w:sz w:val="20"/>
                <w:szCs w:val="20"/>
                <w:lang w:val="en-US"/>
              </w:rPr>
            </w:pPr>
          </w:p>
          <w:p w:rsidR="00802398" w:rsidRDefault="0080239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Registration with, or eligibility to be registered with, a Professional Body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98" w:rsidRDefault="00802398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802398" w:rsidRDefault="00802398">
            <w:pPr>
              <w:ind w:left="437" w:hanging="425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02398" w:rsidTr="00802398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398" w:rsidRDefault="00802398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98" w:rsidRDefault="00802398">
            <w:pPr>
              <w:ind w:left="437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 minimum of, 2 </w:t>
            </w:r>
            <w:proofErr w:type="spellStart"/>
            <w:r>
              <w:rPr>
                <w:sz w:val="20"/>
                <w:szCs w:val="20"/>
                <w:lang w:val="en-US"/>
              </w:rPr>
              <w:t>years experience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 a social services setting</w:t>
            </w:r>
          </w:p>
          <w:p w:rsidR="00802398" w:rsidRDefault="00802398">
            <w:pPr>
              <w:ind w:left="437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Evidence of competence in providing supervision in a relevant professional context </w:t>
            </w:r>
          </w:p>
          <w:p w:rsidR="00802398" w:rsidRDefault="00802398">
            <w:pPr>
              <w:ind w:left="437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Knowledge and understanding of the PLQ(SS) standards </w:t>
            </w:r>
          </w:p>
          <w:p w:rsidR="00802398" w:rsidRDefault="00802398">
            <w:pPr>
              <w:ind w:left="437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Knowledge of the standards on which the learner is being assessed [</w:t>
            </w:r>
            <w:proofErr w:type="spellStart"/>
            <w:r>
              <w:rPr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Standards in Social Work Education (</w:t>
            </w:r>
            <w:proofErr w:type="spellStart"/>
            <w:r>
              <w:rPr>
                <w:sz w:val="20"/>
                <w:szCs w:val="20"/>
                <w:lang w:val="en-US"/>
              </w:rPr>
              <w:t>SiSWE</w:t>
            </w:r>
            <w:proofErr w:type="spellEnd"/>
            <w:r>
              <w:rPr>
                <w:sz w:val="20"/>
                <w:szCs w:val="20"/>
                <w:lang w:val="en-US"/>
              </w:rPr>
              <w:t>)]</w:t>
            </w:r>
          </w:p>
          <w:p w:rsidR="00802398" w:rsidRDefault="00802398">
            <w:pPr>
              <w:ind w:left="437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Experience of working within the SSSC Codes of Practice</w:t>
            </w:r>
          </w:p>
          <w:p w:rsidR="00802398" w:rsidRDefault="00802398">
            <w:pPr>
              <w:ind w:left="437" w:hanging="425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Experience of supporting learning and development in the workplace</w:t>
            </w:r>
          </w:p>
          <w:p w:rsidR="00802398" w:rsidRDefault="00802398">
            <w:pPr>
              <w:ind w:left="12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98" w:rsidRDefault="0080239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B3A96" w:rsidRDefault="000B3A96"/>
    <w:p w:rsidR="00802398" w:rsidRDefault="00802398" w:rsidP="00802398">
      <w:pPr>
        <w:rPr>
          <w:rFonts w:eastAsiaTheme="minorHAnsi"/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Internal Verifiers </w:t>
      </w:r>
    </w:p>
    <w:p w:rsidR="00802398" w:rsidRDefault="00802398" w:rsidP="00802398">
      <w:pPr>
        <w:rPr>
          <w:b/>
          <w:bCs/>
          <w:sz w:val="20"/>
          <w:szCs w:val="20"/>
          <w:lang w:val="en-US"/>
        </w:rPr>
      </w:pPr>
    </w:p>
    <w:p w:rsidR="00802398" w:rsidRDefault="00802398" w:rsidP="0080239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Internal Verifier should have qualifications and/or experience equivalent to or above that of the Assessor. </w:t>
      </w:r>
    </w:p>
    <w:p w:rsidR="00802398" w:rsidRDefault="00802398">
      <w:bookmarkStart w:id="0" w:name="_GoBack"/>
      <w:bookmarkEnd w:id="0"/>
    </w:p>
    <w:sectPr w:rsidR="00802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98"/>
    <w:rsid w:val="000B3A96"/>
    <w:rsid w:val="0080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5C478-19D4-4CB0-8DB4-652D39A7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3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Caty McColgan</dc:creator>
  <cp:keywords/>
  <dc:description/>
  <cp:lastModifiedBy>Caty McColgan</cp:lastModifiedBy>
  <cp:revision>1</cp:revision>
  <dcterms:created xsi:type="dcterms:W3CDTF">2016-05-24T14:25:00Z</dcterms:created>
  <dcterms:modified xsi:type="dcterms:W3CDTF">2016-05-24T14:27:00Z</dcterms:modified>
</cp:coreProperties>
</file>